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附件二：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京人奖—20</w:t>
      </w:r>
      <w:r>
        <w:rPr>
          <w:rFonts w:ascii="黑体" w:hAns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北京地区人力资源服务品牌50强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参评表</w:t>
      </w:r>
      <w:bookmarkEnd w:id="0"/>
    </w:p>
    <w:p>
      <w:pPr>
        <w:rPr>
          <w:rFonts w:ascii="黑体" w:hAnsi="黑体" w:eastAsia="黑体" w:cs="黑体"/>
          <w:bCs/>
          <w:sz w:val="24"/>
          <w:szCs w:val="36"/>
        </w:rPr>
      </w:pPr>
    </w:p>
    <w:p>
      <w:pPr>
        <w:spacing w:line="6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参评品牌名称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参评品牌企业全称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参评品牌企业性质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国有全资企业   □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国有控股企业   □</w:t>
            </w:r>
          </w:p>
          <w:p>
            <w:pPr>
              <w:tabs>
                <w:tab w:val="center" w:pos="2022"/>
              </w:tabs>
              <w:spacing w:line="6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民营独资企业   □   </w:t>
            </w:r>
          </w:p>
          <w:p>
            <w:pPr>
              <w:tabs>
                <w:tab w:val="center" w:pos="2022"/>
              </w:tabs>
              <w:spacing w:line="6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民营合资企业   □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外商独资企业   □   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外商合资企业   □   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参评品牌简介（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00字以内）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参评品牌企业2</w:t>
            </w:r>
            <w:r>
              <w:rPr>
                <w:rFonts w:ascii="仿宋" w:hAnsi="仿宋" w:eastAsia="仿宋"/>
                <w:sz w:val="28"/>
                <w:szCs w:val="28"/>
              </w:rPr>
              <w:t>019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年度营业收入（总部设在北京的企业可以含京外收入，收入包含代收代付）</w:t>
            </w:r>
          </w:p>
        </w:tc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（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获得奖项（仅限于获得全国人力资源诚信服务示范机构、北京市人力资源诚信服务示范单位、北京人力资源服务机构等级评定单位及获得其他201</w:t>
            </w: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年度全国及北京市级政府奖项）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27D8"/>
    <w:rsid w:val="43D3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2020-05-11T07:50:00Z</dcterms:created>
  <dc:creator>张言亦</dc:creator>
  <cp:lastModifiedBy>张言亦</cp:lastModifiedBy>
  <dcterms:modified xsi:type="dcterms:W3CDTF">2020-05-11T07:51:14Z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